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3A8" w:rsidRDefault="00AC33A8" w:rsidP="00AC33A8">
      <w:pPr>
        <w:rPr>
          <w:rFonts w:hint="eastAsia"/>
          <w:b/>
          <w:bCs/>
        </w:rPr>
      </w:pPr>
      <w:r>
        <w:rPr>
          <w:rFonts w:hint="eastAsia"/>
          <w:b/>
          <w:bCs/>
        </w:rPr>
        <w:t>全國法規資料庫聯結</w:t>
      </w:r>
    </w:p>
    <w:p w:rsidR="00AC33A8" w:rsidRPr="00AC33A8" w:rsidRDefault="00AC33A8" w:rsidP="00AC33A8">
      <w:pPr>
        <w:numPr>
          <w:ilvl w:val="0"/>
          <w:numId w:val="1"/>
        </w:numPr>
        <w:rPr>
          <w:b/>
          <w:bCs/>
        </w:rPr>
      </w:pPr>
      <w:hyperlink r:id="rId5" w:tgtFrame="_blank" w:tooltip="性別平等教育法(另開啟新視窗)" w:history="1">
        <w:r w:rsidRPr="00AC33A8">
          <w:rPr>
            <w:rStyle w:val="a3"/>
            <w:rFonts w:hint="eastAsia"/>
            <w:b/>
            <w:bCs/>
          </w:rPr>
          <w:t>性別平等教育法</w:t>
        </w:r>
      </w:hyperlink>
    </w:p>
    <w:p w:rsidR="00AC33A8" w:rsidRPr="00AC33A8" w:rsidRDefault="00AC33A8" w:rsidP="00AC33A8">
      <w:pPr>
        <w:numPr>
          <w:ilvl w:val="0"/>
          <w:numId w:val="1"/>
        </w:numPr>
        <w:rPr>
          <w:rFonts w:hint="eastAsia"/>
          <w:b/>
          <w:bCs/>
        </w:rPr>
      </w:pPr>
      <w:hyperlink r:id="rId6" w:tgtFrame="_blank" w:tooltip="性別平等教育法實施細則(另開啟新視窗)" w:history="1">
        <w:r w:rsidRPr="00AC33A8">
          <w:rPr>
            <w:rStyle w:val="a3"/>
            <w:rFonts w:hint="eastAsia"/>
            <w:b/>
            <w:bCs/>
          </w:rPr>
          <w:t>性別平等教育法實施細則</w:t>
        </w:r>
      </w:hyperlink>
    </w:p>
    <w:p w:rsidR="00AC33A8" w:rsidRPr="00AC33A8" w:rsidRDefault="00AC33A8" w:rsidP="00AC33A8">
      <w:pPr>
        <w:numPr>
          <w:ilvl w:val="0"/>
          <w:numId w:val="1"/>
        </w:numPr>
        <w:rPr>
          <w:rFonts w:hint="eastAsia"/>
          <w:b/>
          <w:bCs/>
        </w:rPr>
      </w:pPr>
      <w:hyperlink r:id="rId7" w:tgtFrame="_blank" w:tooltip="校園性侵害性騷擾或性霸凌防治準則(另開啟新視窗)" w:history="1">
        <w:r w:rsidRPr="00AC33A8">
          <w:rPr>
            <w:rStyle w:val="a3"/>
            <w:rFonts w:hint="eastAsia"/>
            <w:b/>
            <w:bCs/>
          </w:rPr>
          <w:t>校園性侵害性騷擾或</w:t>
        </w:r>
        <w:proofErr w:type="gramStart"/>
        <w:r w:rsidRPr="00AC33A8">
          <w:rPr>
            <w:rStyle w:val="a3"/>
            <w:rFonts w:hint="eastAsia"/>
            <w:b/>
            <w:bCs/>
          </w:rPr>
          <w:t>性霸凌</w:t>
        </w:r>
        <w:proofErr w:type="gramEnd"/>
        <w:r w:rsidRPr="00AC33A8">
          <w:rPr>
            <w:rStyle w:val="a3"/>
            <w:rFonts w:hint="eastAsia"/>
            <w:b/>
            <w:bCs/>
          </w:rPr>
          <w:t>防治準則</w:t>
        </w:r>
      </w:hyperlink>
    </w:p>
    <w:p w:rsidR="00AC33A8" w:rsidRPr="00AC33A8" w:rsidRDefault="00AC33A8" w:rsidP="00AC33A8">
      <w:pPr>
        <w:numPr>
          <w:ilvl w:val="0"/>
          <w:numId w:val="1"/>
        </w:numPr>
        <w:rPr>
          <w:rFonts w:hint="eastAsia"/>
          <w:b/>
          <w:bCs/>
        </w:rPr>
      </w:pPr>
      <w:hyperlink r:id="rId8" w:tgtFrame="_blank" w:tooltip="性侵害犯罪防治法(另開啟新視窗)" w:history="1">
        <w:r w:rsidRPr="00AC33A8">
          <w:rPr>
            <w:rStyle w:val="a3"/>
            <w:rFonts w:hint="eastAsia"/>
            <w:b/>
            <w:bCs/>
          </w:rPr>
          <w:t>性侵害犯罪防治法</w:t>
        </w:r>
      </w:hyperlink>
    </w:p>
    <w:p w:rsidR="00AC33A8" w:rsidRPr="00AC33A8" w:rsidRDefault="00AC33A8" w:rsidP="00AC33A8">
      <w:pPr>
        <w:numPr>
          <w:ilvl w:val="0"/>
          <w:numId w:val="1"/>
        </w:numPr>
        <w:rPr>
          <w:rFonts w:hint="eastAsia"/>
          <w:b/>
          <w:bCs/>
        </w:rPr>
      </w:pPr>
      <w:hyperlink r:id="rId9" w:tgtFrame="_blank" w:tooltip="性侵害犯罪防治法施行細則(另開啟新視窗)" w:history="1">
        <w:r w:rsidRPr="00AC33A8">
          <w:rPr>
            <w:rStyle w:val="a3"/>
            <w:rFonts w:hint="eastAsia"/>
            <w:b/>
            <w:bCs/>
          </w:rPr>
          <w:t>性侵害犯罪防治法施行細則</w:t>
        </w:r>
      </w:hyperlink>
    </w:p>
    <w:p w:rsidR="00AC33A8" w:rsidRPr="00AC33A8" w:rsidRDefault="00AC33A8" w:rsidP="00AC33A8">
      <w:pPr>
        <w:numPr>
          <w:ilvl w:val="0"/>
          <w:numId w:val="1"/>
        </w:numPr>
        <w:rPr>
          <w:rFonts w:hint="eastAsia"/>
          <w:b/>
          <w:bCs/>
        </w:rPr>
      </w:pPr>
      <w:hyperlink r:id="rId10" w:tgtFrame="_blank" w:tooltip="性騷擾防治法(另開啟新視窗)" w:history="1">
        <w:r w:rsidRPr="00AC33A8">
          <w:rPr>
            <w:rStyle w:val="a3"/>
            <w:rFonts w:hint="eastAsia"/>
            <w:b/>
            <w:bCs/>
          </w:rPr>
          <w:t>性騷擾防治法</w:t>
        </w:r>
      </w:hyperlink>
    </w:p>
    <w:p w:rsidR="00AC33A8" w:rsidRPr="00AC33A8" w:rsidRDefault="00AC33A8" w:rsidP="00AC33A8">
      <w:pPr>
        <w:numPr>
          <w:ilvl w:val="0"/>
          <w:numId w:val="1"/>
        </w:numPr>
        <w:rPr>
          <w:rFonts w:hint="eastAsia"/>
          <w:b/>
          <w:bCs/>
        </w:rPr>
      </w:pPr>
      <w:hyperlink r:id="rId11" w:tgtFrame="_blank" w:tooltip="性騷擾防治法施行細則(另開啟新視窗)" w:history="1">
        <w:r w:rsidRPr="00AC33A8">
          <w:rPr>
            <w:rStyle w:val="a3"/>
            <w:rFonts w:hint="eastAsia"/>
            <w:b/>
            <w:bCs/>
          </w:rPr>
          <w:t>性騷擾防治法施行細則</w:t>
        </w:r>
      </w:hyperlink>
      <w:bookmarkStart w:id="0" w:name="_GoBack"/>
      <w:bookmarkEnd w:id="0"/>
    </w:p>
    <w:p w:rsidR="00AC33A8" w:rsidRPr="00AC33A8" w:rsidRDefault="00AC33A8" w:rsidP="00AC33A8">
      <w:pPr>
        <w:numPr>
          <w:ilvl w:val="0"/>
          <w:numId w:val="1"/>
        </w:numPr>
        <w:rPr>
          <w:rFonts w:hint="eastAsia"/>
          <w:b/>
          <w:bCs/>
        </w:rPr>
      </w:pPr>
      <w:hyperlink r:id="rId12" w:tgtFrame="_blank" w:tooltip="性騷擾防治準則(另開啟新視窗)" w:history="1">
        <w:r w:rsidRPr="00AC33A8">
          <w:rPr>
            <w:rStyle w:val="a3"/>
            <w:rFonts w:hint="eastAsia"/>
            <w:b/>
            <w:bCs/>
          </w:rPr>
          <w:t>性騷擾防治準則</w:t>
        </w:r>
      </w:hyperlink>
    </w:p>
    <w:p w:rsidR="00AC33A8" w:rsidRPr="00AC33A8" w:rsidRDefault="00AC33A8" w:rsidP="00AC33A8">
      <w:pPr>
        <w:numPr>
          <w:ilvl w:val="0"/>
          <w:numId w:val="1"/>
        </w:numPr>
        <w:rPr>
          <w:rFonts w:hint="eastAsia"/>
          <w:b/>
          <w:bCs/>
        </w:rPr>
      </w:pPr>
      <w:hyperlink r:id="rId13" w:tgtFrame="_blank" w:tooltip="兒童及少年性剝削防制條例(另開啟新視窗)" w:history="1">
        <w:r w:rsidRPr="00AC33A8">
          <w:rPr>
            <w:rStyle w:val="a3"/>
            <w:rFonts w:hint="eastAsia"/>
            <w:b/>
            <w:bCs/>
          </w:rPr>
          <w:t>兒童及少年性剝削防制條例</w:t>
        </w:r>
      </w:hyperlink>
    </w:p>
    <w:p w:rsidR="00AC33A8" w:rsidRPr="00AC33A8" w:rsidRDefault="00AC33A8" w:rsidP="00AC33A8">
      <w:pPr>
        <w:numPr>
          <w:ilvl w:val="0"/>
          <w:numId w:val="1"/>
        </w:numPr>
        <w:rPr>
          <w:rFonts w:hint="eastAsia"/>
          <w:b/>
          <w:bCs/>
        </w:rPr>
      </w:pPr>
      <w:hyperlink r:id="rId14" w:tgtFrame="_blank" w:tooltip="刑法(第10條及第十六章)(另開啟新視窗)" w:history="1">
        <w:r w:rsidRPr="00AC33A8">
          <w:rPr>
            <w:rStyle w:val="a3"/>
            <w:rFonts w:hint="eastAsia"/>
            <w:b/>
            <w:bCs/>
          </w:rPr>
          <w:t>刑法</w:t>
        </w:r>
        <w:r w:rsidRPr="00AC33A8">
          <w:rPr>
            <w:rStyle w:val="a3"/>
            <w:rFonts w:hint="eastAsia"/>
            <w:b/>
            <w:bCs/>
          </w:rPr>
          <w:t>(</w:t>
        </w:r>
        <w:r w:rsidRPr="00AC33A8">
          <w:rPr>
            <w:rStyle w:val="a3"/>
            <w:rFonts w:hint="eastAsia"/>
            <w:b/>
            <w:bCs/>
          </w:rPr>
          <w:t>第</w:t>
        </w:r>
        <w:r w:rsidRPr="00AC33A8">
          <w:rPr>
            <w:rStyle w:val="a3"/>
            <w:rFonts w:hint="eastAsia"/>
            <w:b/>
            <w:bCs/>
          </w:rPr>
          <w:t>10</w:t>
        </w:r>
        <w:r w:rsidRPr="00AC33A8">
          <w:rPr>
            <w:rStyle w:val="a3"/>
            <w:rFonts w:hint="eastAsia"/>
            <w:b/>
            <w:bCs/>
          </w:rPr>
          <w:t>條及第十六章</w:t>
        </w:r>
        <w:r w:rsidRPr="00AC33A8">
          <w:rPr>
            <w:rStyle w:val="a3"/>
            <w:rFonts w:hint="eastAsia"/>
            <w:b/>
            <w:bCs/>
          </w:rPr>
          <w:t>)</w:t>
        </w:r>
      </w:hyperlink>
    </w:p>
    <w:p w:rsidR="00AC33A8" w:rsidRPr="00AC33A8" w:rsidRDefault="00AC33A8" w:rsidP="00AC33A8">
      <w:pPr>
        <w:numPr>
          <w:ilvl w:val="0"/>
          <w:numId w:val="1"/>
        </w:numPr>
        <w:rPr>
          <w:rFonts w:hint="eastAsia"/>
          <w:b/>
          <w:bCs/>
        </w:rPr>
      </w:pPr>
      <w:hyperlink r:id="rId15" w:tgtFrame="_blank" w:tooltip="教師法(另開啟新視窗)" w:history="1">
        <w:r w:rsidRPr="00AC33A8">
          <w:rPr>
            <w:rStyle w:val="a3"/>
            <w:rFonts w:hint="eastAsia"/>
            <w:b/>
            <w:bCs/>
          </w:rPr>
          <w:t>教師法</w:t>
        </w:r>
      </w:hyperlink>
    </w:p>
    <w:p w:rsidR="00AC33A8" w:rsidRPr="00AC33A8" w:rsidRDefault="00AC33A8" w:rsidP="00AC33A8">
      <w:pPr>
        <w:numPr>
          <w:ilvl w:val="0"/>
          <w:numId w:val="1"/>
        </w:numPr>
        <w:rPr>
          <w:rFonts w:hint="eastAsia"/>
          <w:b/>
          <w:bCs/>
        </w:rPr>
      </w:pPr>
      <w:hyperlink r:id="rId16" w:tgtFrame="_blank" w:tooltip="教育人員任用條例(另開啟新視窗)" w:history="1">
        <w:r w:rsidRPr="00AC33A8">
          <w:rPr>
            <w:rStyle w:val="a3"/>
            <w:rFonts w:hint="eastAsia"/>
            <w:b/>
            <w:bCs/>
          </w:rPr>
          <w:t>教育人員任用條例</w:t>
        </w:r>
      </w:hyperlink>
    </w:p>
    <w:p w:rsidR="00AC33A8" w:rsidRPr="00AC33A8" w:rsidRDefault="00AC33A8" w:rsidP="00AC33A8">
      <w:pPr>
        <w:numPr>
          <w:ilvl w:val="0"/>
          <w:numId w:val="1"/>
        </w:numPr>
        <w:rPr>
          <w:rFonts w:hint="eastAsia"/>
          <w:b/>
          <w:bCs/>
        </w:rPr>
      </w:pPr>
      <w:hyperlink r:id="rId17" w:tgtFrame="_blank" w:tooltip="行政程序法(另開啟新視窗)" w:history="1">
        <w:r w:rsidRPr="00AC33A8">
          <w:rPr>
            <w:rStyle w:val="a3"/>
            <w:rFonts w:hint="eastAsia"/>
            <w:b/>
            <w:bCs/>
          </w:rPr>
          <w:t>行政程序法</w:t>
        </w:r>
      </w:hyperlink>
    </w:p>
    <w:p w:rsidR="00AC33A8" w:rsidRPr="00AC33A8" w:rsidRDefault="00AC33A8" w:rsidP="00AC33A8">
      <w:pPr>
        <w:numPr>
          <w:ilvl w:val="0"/>
          <w:numId w:val="1"/>
        </w:numPr>
        <w:rPr>
          <w:rFonts w:hint="eastAsia"/>
          <w:b/>
          <w:bCs/>
        </w:rPr>
      </w:pPr>
      <w:hyperlink r:id="rId18" w:tgtFrame="_blank" w:tooltip="學生懷孕受教權維護及輔導協助要點(另開啟新視窗)" w:history="1">
        <w:r w:rsidRPr="00AC33A8">
          <w:rPr>
            <w:rStyle w:val="a3"/>
            <w:rFonts w:hint="eastAsia"/>
            <w:b/>
            <w:bCs/>
          </w:rPr>
          <w:t>學生懷孕受教權維護及輔導協助要點</w:t>
        </w:r>
      </w:hyperlink>
    </w:p>
    <w:p w:rsidR="00AC33A8" w:rsidRPr="00AC33A8" w:rsidRDefault="00AC33A8" w:rsidP="00AC33A8">
      <w:pPr>
        <w:numPr>
          <w:ilvl w:val="0"/>
          <w:numId w:val="1"/>
        </w:numPr>
        <w:rPr>
          <w:rFonts w:hint="eastAsia"/>
          <w:b/>
          <w:bCs/>
        </w:rPr>
      </w:pPr>
      <w:hyperlink r:id="rId19" w:tgtFrame="_blank" w:tooltip="性別平等教育法相關函示目錄 (另開啟新視窗)" w:history="1">
        <w:r w:rsidRPr="00AC33A8">
          <w:rPr>
            <w:rStyle w:val="a3"/>
            <w:rFonts w:hint="eastAsia"/>
            <w:b/>
            <w:bCs/>
          </w:rPr>
          <w:t>性別平等教育法相關函示目錄</w:t>
        </w:r>
      </w:hyperlink>
    </w:p>
    <w:p w:rsidR="00B6038F" w:rsidRDefault="00B6038F"/>
    <w:sectPr w:rsidR="00B603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87DE0"/>
    <w:multiLevelType w:val="multilevel"/>
    <w:tmpl w:val="7AE8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A8"/>
    <w:rsid w:val="00AC33A8"/>
    <w:rsid w:val="00B6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DBD62-552D-4B31-949F-E43D79D7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3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7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moj.gov.tw/LawClass/LawAll.aspx?PCode=D0080079" TargetMode="External"/><Relationship Id="rId13" Type="http://schemas.openxmlformats.org/officeDocument/2006/relationships/hyperlink" Target="http://law.moj.gov.tw/LawClass/LawContent.aspx?PCODE=D0050023" TargetMode="External"/><Relationship Id="rId18" Type="http://schemas.openxmlformats.org/officeDocument/2006/relationships/hyperlink" Target="https://edu.law.moe.gov.tw/LawContent.aspx?id=FL03653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law.moj.gov.tw/LawClass/LawAll.aspx?PCode=H0080069" TargetMode="External"/><Relationship Id="rId12" Type="http://schemas.openxmlformats.org/officeDocument/2006/relationships/hyperlink" Target="http://law.moj.gov.tw/LawClass/LawAll.aspx?PCode=D0050136" TargetMode="External"/><Relationship Id="rId17" Type="http://schemas.openxmlformats.org/officeDocument/2006/relationships/hyperlink" Target="http://law.moj.gov.tw/LawClass/LawAll.aspx?PCode=A0030055" TargetMode="External"/><Relationship Id="rId2" Type="http://schemas.openxmlformats.org/officeDocument/2006/relationships/styles" Target="styles.xml"/><Relationship Id="rId16" Type="http://schemas.openxmlformats.org/officeDocument/2006/relationships/hyperlink" Target="http://law.moj.gov.tw/LawClass/LawAll.aspx?PCode=H015001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aw.moj.gov.tw/LawClass/LawAll.aspx?PCode=H0080068" TargetMode="External"/><Relationship Id="rId11" Type="http://schemas.openxmlformats.org/officeDocument/2006/relationships/hyperlink" Target="http://law.moj.gov.tw/LawClass/LawAll.aspx?PCode=D0050135" TargetMode="External"/><Relationship Id="rId5" Type="http://schemas.openxmlformats.org/officeDocument/2006/relationships/hyperlink" Target="http://law.moj.gov.tw/LawClass/LawAll.aspx?PCode=H0080067" TargetMode="External"/><Relationship Id="rId15" Type="http://schemas.openxmlformats.org/officeDocument/2006/relationships/hyperlink" Target="http://law.moj.gov.tw/LawClass/LawAll.aspx?PCode=H0020040" TargetMode="External"/><Relationship Id="rId10" Type="http://schemas.openxmlformats.org/officeDocument/2006/relationships/hyperlink" Target="http://law.moj.gov.tw/LawClass/LawAll.aspx?PCode=D0050074" TargetMode="External"/><Relationship Id="rId19" Type="http://schemas.openxmlformats.org/officeDocument/2006/relationships/hyperlink" Target="https://www.gender.edu.tw/web/index.php/m3/m3_03_ind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w.moj.gov.tw/LawClass/LawAll.aspx?PCode=D0080080" TargetMode="External"/><Relationship Id="rId14" Type="http://schemas.openxmlformats.org/officeDocument/2006/relationships/hyperlink" Target="http://law.moj.gov.tw/LawClass/LawAll.aspx?PCode=C000000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2022-06-22T07:36:00Z</dcterms:created>
  <dcterms:modified xsi:type="dcterms:W3CDTF">2022-06-22T07:37:00Z</dcterms:modified>
</cp:coreProperties>
</file>