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D0" w:rsidRPr="00C15BFD" w:rsidRDefault="003533A5" w:rsidP="00C15BFD">
      <w:pPr>
        <w:pStyle w:val="a7"/>
        <w:numPr>
          <w:ilvl w:val="0"/>
          <w:numId w:val="3"/>
        </w:numPr>
        <w:spacing w:line="360" w:lineRule="atLeast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五育高中</w:t>
      </w:r>
      <w:bookmarkStart w:id="0" w:name="_GoBack"/>
      <w:bookmarkEnd w:id="0"/>
      <w:r w:rsidR="00C87AD0" w:rsidRPr="00C15BF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proofErr w:type="gramStart"/>
      <w:r w:rsidR="006B3D4D" w:rsidRPr="005D561E">
        <w:rPr>
          <w:rFonts w:ascii="標楷體" w:eastAsia="標楷體" w:hAnsi="標楷體" w:cs="新細明體" w:hint="eastAsia"/>
          <w:kern w:val="0"/>
        </w:rPr>
        <w:t>校</w:t>
      </w:r>
      <w:proofErr w:type="gramEnd"/>
      <w:r w:rsidR="006B3D4D" w:rsidRPr="005D561E">
        <w:rPr>
          <w:rFonts w:ascii="標楷體" w:eastAsia="標楷體" w:hAnsi="標楷體" w:cs="新細明體" w:hint="eastAsia"/>
          <w:kern w:val="0"/>
        </w:rPr>
        <w:t>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proofErr w:type="gramStart"/>
            <w:r w:rsidRPr="005D561E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以免因碰觸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或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掉落等傷人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（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）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AB2057" w:rsidRPr="00FB5B95" w:rsidRDefault="00FB5B95" w:rsidP="00FB5B95">
            <w:pPr>
              <w:pStyle w:val="a7"/>
              <w:numPr>
                <w:ilvl w:val="0"/>
                <w:numId w:val="4"/>
              </w:numPr>
              <w:spacing w:line="240" w:lineRule="atLeast"/>
              <w:ind w:leftChars="0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B5B95">
              <w:rPr>
                <w:rFonts w:eastAsia="標楷體" w:hint="eastAsia"/>
                <w:sz w:val="20"/>
                <w:szCs w:val="20"/>
              </w:rPr>
              <w:t>打草機</w:t>
            </w:r>
            <w:proofErr w:type="gramEnd"/>
            <w:r w:rsidRPr="00FB5B95">
              <w:rPr>
                <w:rFonts w:eastAsia="標楷體" w:hint="eastAsia"/>
                <w:sz w:val="20"/>
                <w:szCs w:val="20"/>
              </w:rPr>
              <w:t>3</w:t>
            </w:r>
            <w:r w:rsidRPr="00FB5B95">
              <w:rPr>
                <w:rFonts w:eastAsia="標楷體" w:hint="eastAsia"/>
                <w:sz w:val="20"/>
                <w:szCs w:val="20"/>
              </w:rPr>
              <w:t>台維修費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FB5B95" w:rsidRPr="00FB5B95" w:rsidRDefault="00FB5B95" w:rsidP="00FB5B95">
            <w:pPr>
              <w:pStyle w:val="a7"/>
              <w:numPr>
                <w:ilvl w:val="0"/>
                <w:numId w:val="4"/>
              </w:numPr>
              <w:spacing w:line="240" w:lineRule="atLeast"/>
              <w:ind w:leftChars="0"/>
              <w:contextualSpacing/>
              <w:jc w:val="both"/>
              <w:rPr>
                <w:rFonts w:eastAsia="標楷體"/>
              </w:rPr>
            </w:pPr>
            <w:r w:rsidRPr="00FB5B95">
              <w:rPr>
                <w:rFonts w:eastAsia="標楷體" w:hint="eastAsia"/>
                <w:sz w:val="20"/>
                <w:szCs w:val="20"/>
              </w:rPr>
              <w:t>飲水機</w:t>
            </w:r>
            <w:proofErr w:type="gramStart"/>
            <w:r w:rsidRPr="00FB5B95">
              <w:rPr>
                <w:rFonts w:eastAsia="標楷體" w:hint="eastAsia"/>
                <w:sz w:val="20"/>
                <w:szCs w:val="20"/>
              </w:rPr>
              <w:t>8</w:t>
            </w:r>
            <w:r w:rsidRPr="00FB5B95">
              <w:rPr>
                <w:rFonts w:eastAsia="標楷體" w:hint="eastAsia"/>
                <w:sz w:val="20"/>
                <w:szCs w:val="20"/>
              </w:rPr>
              <w:t>台換濾心</w:t>
            </w:r>
            <w:proofErr w:type="gramEnd"/>
            <w:r w:rsidRPr="00FB5B95">
              <w:rPr>
                <w:rFonts w:eastAsia="標楷體" w:hint="eastAsia"/>
                <w:sz w:val="20"/>
                <w:szCs w:val="20"/>
              </w:rPr>
              <w:t>維修費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proofErr w:type="gramStart"/>
            <w:r w:rsidRPr="00C15BFD">
              <w:rPr>
                <w:rFonts w:eastAsia="標楷體" w:hint="eastAsia"/>
              </w:rPr>
              <w:t>汰</w:t>
            </w:r>
            <w:proofErr w:type="gramEnd"/>
            <w:r w:rsidRPr="00C15BFD">
              <w:rPr>
                <w:rFonts w:eastAsia="標楷體" w:hint="eastAsia"/>
              </w:rPr>
              <w:t>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萬</w:t>
            </w:r>
          </w:p>
        </w:tc>
        <w:tc>
          <w:tcPr>
            <w:tcW w:w="461" w:type="pct"/>
            <w:vAlign w:val="center"/>
          </w:tcPr>
          <w:p w:rsidR="00C15BFD" w:rsidRPr="00FB5B95" w:rsidRDefault="00FB5B95" w:rsidP="00FB5B95">
            <w:pPr>
              <w:pStyle w:val="a7"/>
              <w:numPr>
                <w:ilvl w:val="0"/>
                <w:numId w:val="5"/>
              </w:numPr>
              <w:spacing w:line="240" w:lineRule="atLeast"/>
              <w:ind w:leftChars="0"/>
              <w:contextualSpacing/>
              <w:jc w:val="both"/>
              <w:rPr>
                <w:rFonts w:eastAsia="標楷體"/>
              </w:rPr>
            </w:pPr>
            <w:r w:rsidRPr="00FB5B95">
              <w:rPr>
                <w:rFonts w:eastAsia="標楷體" w:hint="eastAsia"/>
              </w:rPr>
              <w:t>電梯</w:t>
            </w:r>
            <w:r w:rsidRPr="00FB5B95">
              <w:rPr>
                <w:rFonts w:eastAsia="標楷體" w:hint="eastAsia"/>
              </w:rPr>
              <w:t>3</w:t>
            </w:r>
            <w:r w:rsidRPr="00FB5B95"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維修費</w:t>
            </w:r>
          </w:p>
          <w:p w:rsidR="00FB5B95" w:rsidRPr="00FB5B95" w:rsidRDefault="00FB5B95" w:rsidP="00FB5B95">
            <w:pPr>
              <w:pStyle w:val="a7"/>
              <w:numPr>
                <w:ilvl w:val="0"/>
                <w:numId w:val="5"/>
              </w:numPr>
              <w:spacing w:line="240" w:lineRule="atLeast"/>
              <w:ind w:leftChars="0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電力設備檢測費</w:t>
            </w: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</w:t>
            </w:r>
            <w:proofErr w:type="gramStart"/>
            <w:r w:rsidRPr="005D561E">
              <w:rPr>
                <w:rFonts w:eastAsia="標楷體" w:hAnsi="標楷體"/>
              </w:rPr>
              <w:t>採</w:t>
            </w:r>
            <w:proofErr w:type="gramEnd"/>
            <w:r w:rsidRPr="005D561E">
              <w:rPr>
                <w:rFonts w:eastAsia="標楷體" w:hAnsi="標楷體"/>
              </w:rPr>
              <w:t>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</w:t>
            </w:r>
            <w:proofErr w:type="gramStart"/>
            <w:r w:rsidRPr="005D561E">
              <w:rPr>
                <w:rFonts w:eastAsia="標楷體" w:hAnsi="標楷體"/>
              </w:rPr>
              <w:t>發佈令工辦理</w:t>
            </w:r>
            <w:proofErr w:type="gramEnd"/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法定回訓</w:t>
            </w:r>
            <w:proofErr w:type="gramEnd"/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FB5B95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43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43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B21BB8" w:rsidP="00FB5B95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萬元</w:t>
            </w: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CC726C">
        <w:rPr>
          <w:rFonts w:ascii="標楷體" w:eastAsia="標楷體" w:hAnsi="標楷體"/>
          <w:sz w:val="32"/>
          <w:szCs w:val="32"/>
        </w:rPr>
        <w:t>本校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校長主持之</w:t>
      </w:r>
      <w:r w:rsidR="00C601E4">
        <w:rPr>
          <w:rFonts w:ascii="標楷體" w:eastAsia="標楷體" w:hAnsi="標楷體" w:hint="eastAsia"/>
          <w:sz w:val="32"/>
          <w:szCs w:val="32"/>
        </w:rPr>
        <w:t>教務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行政會議</w:t>
      </w:r>
      <w:r w:rsidR="00CC726C">
        <w:rPr>
          <w:rFonts w:ascii="標楷體" w:eastAsia="標楷體" w:hAnsi="標楷體" w:hint="eastAsia"/>
        </w:rPr>
        <w:t>(或</w:t>
      </w:r>
      <w:r w:rsidRPr="005D561E">
        <w:rPr>
          <w:rFonts w:ascii="標楷體" w:eastAsia="標楷體" w:hAnsi="標楷體"/>
        </w:rPr>
        <w:t>安全衛生委員會</w:t>
      </w:r>
      <w:r w:rsidR="00CC726C">
        <w:rPr>
          <w:rFonts w:ascii="標楷體" w:eastAsia="標楷體" w:hAnsi="標楷體" w:hint="eastAsia"/>
        </w:rPr>
        <w:t>)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FC" w:rsidRDefault="00E611FC" w:rsidP="00C87AD0">
      <w:r>
        <w:separator/>
      </w:r>
    </w:p>
  </w:endnote>
  <w:endnote w:type="continuationSeparator" w:id="0">
    <w:p w:rsidR="00E611FC" w:rsidRDefault="00E611FC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B" w:rsidRDefault="001738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3533A5" w:rsidRPr="003533A5">
      <w:rPr>
        <w:rFonts w:ascii="Times New Roman" w:eastAsia="標楷體" w:hAnsi="Times New Roman"/>
        <w:noProof/>
        <w:lang w:val="zh-TW"/>
      </w:rPr>
      <w:t>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3533A5">
      <w:rPr>
        <w:rFonts w:ascii="Times New Roman" w:eastAsia="標楷體" w:hAnsi="Times New Roman"/>
        <w:noProof/>
      </w:rPr>
      <w:t>8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B" w:rsidRDefault="00173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FC" w:rsidRDefault="00E611FC" w:rsidP="00C87AD0">
      <w:r>
        <w:separator/>
      </w:r>
    </w:p>
  </w:footnote>
  <w:footnote w:type="continuationSeparator" w:id="0">
    <w:p w:rsidR="00E611FC" w:rsidRDefault="00E611FC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B" w:rsidRDefault="001738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27" w:rsidRPr="00852D70" w:rsidRDefault="00AA0F18" w:rsidP="0017384B">
    <w:pPr>
      <w:ind w:left="283" w:hangingChars="118" w:hanging="283"/>
      <w:jc w:val="right"/>
      <w:rPr>
        <w:rFonts w:eastAsia="標楷體"/>
        <w:color w:val="0000FF"/>
      </w:rPr>
    </w:pPr>
    <w:r w:rsidRPr="00874728">
      <w:rPr>
        <w:rFonts w:eastAsia="標楷體" w:hint="eastAsia"/>
        <w:color w:val="0000FF"/>
      </w:rPr>
      <w:t>※</w:t>
    </w:r>
    <w:bookmarkStart w:id="1" w:name="_Hlk5832868"/>
    <w:r w:rsidR="00037C27">
      <w:rPr>
        <w:rFonts w:eastAsia="標楷體" w:hint="eastAsia"/>
        <w:color w:val="0000FF"/>
      </w:rPr>
      <w:t>五育高中</w:t>
    </w:r>
    <w:r w:rsidR="00037C27">
      <w:rPr>
        <w:rFonts w:eastAsia="標楷體" w:hint="eastAsia"/>
        <w:color w:val="0000FF"/>
      </w:rPr>
      <w:t>108</w:t>
    </w:r>
    <w:r w:rsidR="00037C27" w:rsidRPr="008D43ED">
      <w:rPr>
        <w:rFonts w:eastAsia="標楷體" w:hint="eastAsia"/>
        <w:color w:val="0000FF"/>
      </w:rPr>
      <w:t>年</w:t>
    </w:r>
    <w:r w:rsidR="0017384B">
      <w:rPr>
        <w:rFonts w:eastAsia="標楷體" w:hint="eastAsia"/>
        <w:color w:val="0000FF"/>
      </w:rPr>
      <w:t>9</w:t>
    </w:r>
    <w:r w:rsidR="00037C27" w:rsidRPr="008D43ED">
      <w:rPr>
        <w:rFonts w:eastAsia="標楷體" w:hint="eastAsia"/>
        <w:color w:val="0000FF"/>
      </w:rPr>
      <w:t>月</w:t>
    </w:r>
    <w:r w:rsidR="0017384B">
      <w:rPr>
        <w:rFonts w:eastAsia="標楷體" w:hint="eastAsia"/>
        <w:color w:val="0000FF"/>
      </w:rPr>
      <w:t>24</w:t>
    </w:r>
    <w:r w:rsidR="00037C27">
      <w:rPr>
        <w:rFonts w:eastAsia="標楷體" w:hint="eastAsia"/>
        <w:color w:val="0000FF"/>
      </w:rPr>
      <w:t>日公告日期及第一次</w:t>
    </w:r>
    <w:r w:rsidR="00037C27" w:rsidRPr="008D43ED">
      <w:rPr>
        <w:rFonts w:eastAsia="標楷體" w:hint="eastAsia"/>
        <w:color w:val="0000FF"/>
      </w:rPr>
      <w:t>修訂</w:t>
    </w:r>
    <w:bookmarkEnd w:id="1"/>
  </w:p>
  <w:p w:rsidR="00AA0F18" w:rsidRPr="00037C27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B" w:rsidRDefault="001738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6B410D"/>
    <w:multiLevelType w:val="hybridMultilevel"/>
    <w:tmpl w:val="19ECE72E"/>
    <w:lvl w:ilvl="0" w:tplc="6D10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9E6B94"/>
    <w:multiLevelType w:val="hybridMultilevel"/>
    <w:tmpl w:val="E01C4D86"/>
    <w:lvl w:ilvl="0" w:tplc="6586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0"/>
    <w:rsid w:val="00026ECF"/>
    <w:rsid w:val="00037C27"/>
    <w:rsid w:val="00063F7F"/>
    <w:rsid w:val="00065992"/>
    <w:rsid w:val="000B30D9"/>
    <w:rsid w:val="000F0082"/>
    <w:rsid w:val="00105527"/>
    <w:rsid w:val="00114E39"/>
    <w:rsid w:val="00146FC7"/>
    <w:rsid w:val="0016074C"/>
    <w:rsid w:val="00160EA5"/>
    <w:rsid w:val="0017384B"/>
    <w:rsid w:val="00180029"/>
    <w:rsid w:val="00196C9F"/>
    <w:rsid w:val="001A1231"/>
    <w:rsid w:val="001C082A"/>
    <w:rsid w:val="00267B41"/>
    <w:rsid w:val="00291FDA"/>
    <w:rsid w:val="002C5D9F"/>
    <w:rsid w:val="002E0134"/>
    <w:rsid w:val="002E5BA1"/>
    <w:rsid w:val="00301F9A"/>
    <w:rsid w:val="003533A5"/>
    <w:rsid w:val="00364AAD"/>
    <w:rsid w:val="00386E7C"/>
    <w:rsid w:val="003920F9"/>
    <w:rsid w:val="003C4D08"/>
    <w:rsid w:val="003D6A33"/>
    <w:rsid w:val="003E4633"/>
    <w:rsid w:val="003E7ACF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D0807"/>
    <w:rsid w:val="005D561E"/>
    <w:rsid w:val="00632D6A"/>
    <w:rsid w:val="00673F87"/>
    <w:rsid w:val="006B3D4D"/>
    <w:rsid w:val="006B48AD"/>
    <w:rsid w:val="006C4BA8"/>
    <w:rsid w:val="006E59D4"/>
    <w:rsid w:val="00704816"/>
    <w:rsid w:val="00794E8D"/>
    <w:rsid w:val="00797C1A"/>
    <w:rsid w:val="007B3F21"/>
    <w:rsid w:val="007C121A"/>
    <w:rsid w:val="007D6320"/>
    <w:rsid w:val="00807E05"/>
    <w:rsid w:val="0081347E"/>
    <w:rsid w:val="00852D70"/>
    <w:rsid w:val="0086311E"/>
    <w:rsid w:val="00883D75"/>
    <w:rsid w:val="008871E6"/>
    <w:rsid w:val="008A2610"/>
    <w:rsid w:val="008C5D00"/>
    <w:rsid w:val="008F1811"/>
    <w:rsid w:val="00911967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21BB8"/>
    <w:rsid w:val="00B318D8"/>
    <w:rsid w:val="00B61879"/>
    <w:rsid w:val="00B939ED"/>
    <w:rsid w:val="00BE547E"/>
    <w:rsid w:val="00BF1648"/>
    <w:rsid w:val="00C15BFD"/>
    <w:rsid w:val="00C24F80"/>
    <w:rsid w:val="00C262BA"/>
    <w:rsid w:val="00C339CC"/>
    <w:rsid w:val="00C601E4"/>
    <w:rsid w:val="00C74F50"/>
    <w:rsid w:val="00C87AD0"/>
    <w:rsid w:val="00C9133B"/>
    <w:rsid w:val="00CC726C"/>
    <w:rsid w:val="00D12DAA"/>
    <w:rsid w:val="00D12EFC"/>
    <w:rsid w:val="00D22AAB"/>
    <w:rsid w:val="00D403E0"/>
    <w:rsid w:val="00D72AA9"/>
    <w:rsid w:val="00D95065"/>
    <w:rsid w:val="00DC0DA1"/>
    <w:rsid w:val="00DC4374"/>
    <w:rsid w:val="00E10A42"/>
    <w:rsid w:val="00E611FC"/>
    <w:rsid w:val="00E6573F"/>
    <w:rsid w:val="00E778EC"/>
    <w:rsid w:val="00E87947"/>
    <w:rsid w:val="00EE6C62"/>
    <w:rsid w:val="00F73FF1"/>
    <w:rsid w:val="00F92E91"/>
    <w:rsid w:val="00F97D78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570</Words>
  <Characters>3252</Characters>
  <Application>Microsoft Office Word</Application>
  <DocSecurity>0</DocSecurity>
  <Lines>27</Lines>
  <Paragraphs>7</Paragraphs>
  <ScaleCrop>false</ScaleCrop>
  <Company>Collings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V200</cp:lastModifiedBy>
  <cp:revision>6</cp:revision>
  <cp:lastPrinted>2019-10-01T03:08:00Z</cp:lastPrinted>
  <dcterms:created xsi:type="dcterms:W3CDTF">2019-09-24T04:01:00Z</dcterms:created>
  <dcterms:modified xsi:type="dcterms:W3CDTF">2020-06-18T01:03:00Z</dcterms:modified>
</cp:coreProperties>
</file>